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i w:val="false"/>
          <w:caps w:val="false"/>
          <w:smallCaps w:val="false"/>
          <w:color w:val="4E443C"/>
          <w:spacing w:val="0"/>
          <w:sz w:val="24"/>
          <w:szCs w:val="24"/>
          <w:shd w:fill="FFFFFF" w:val="clear"/>
        </w:rPr>
        <w:t>StrojCAD s.r.o., so s</w:t>
      </w:r>
      <w:r>
        <w:rPr>
          <w:rStyle w:val="Silnzvraznenie"/>
          <w:rFonts w:eastAsia="Times New Roman" w:cs="Times New Roman" w:ascii="Times New Roman" w:hAnsi="Times New Roman"/>
          <w:i w:val="false"/>
          <w:caps w:val="false"/>
          <w:smallCaps w:val="false"/>
          <w:color w:val="4E443C"/>
          <w:spacing w:val="0"/>
          <w:shd w:fill="FFFFFF" w:val="clear"/>
        </w:rPr>
        <w:t>ídlom Lastomírska 2 071 01 Michalovce, IČO: 31 669 697, zapísaný v OR Okresného súdu Košice I, oddiel: Sro, vložka č. 2871/V.</w:t>
      </w:r>
      <w:r>
        <w:rPr>
          <w:rStyle w:val="Strong"/>
          <w:rFonts w:eastAsia="Times New Roman"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325</Words>
  <Characters>3370</Characters>
  <CharactersWithSpaces>3677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2022-07-14T13:00:28Z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